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29A8D2" w14:textId="60B17BB7" w:rsidR="008C3E61" w:rsidRPr="005526DE" w:rsidRDefault="005526DE" w:rsidP="00587947">
      <w:pPr>
        <w:bidi/>
        <w:jc w:val="both"/>
        <w:rPr>
          <w:rFonts w:asciiTheme="minorHAnsi" w:hAnsiTheme="minorHAnsi"/>
          <w:bCs/>
          <w:u w:val="single"/>
        </w:rPr>
      </w:pPr>
      <w:r w:rsidRPr="005526DE">
        <w:rPr>
          <w:rFonts w:asciiTheme="minorHAnsi" w:hAnsiTheme="minorHAnsi"/>
          <w:b/>
          <w:sz w:val="24"/>
          <w:u w:val="single"/>
        </w:rPr>
        <w:t xml:space="preserve"> 5</w:t>
      </w:r>
      <w:r w:rsidR="00587947" w:rsidRPr="005526DE">
        <w:rPr>
          <w:rFonts w:asciiTheme="minorHAnsi" w:hAnsiTheme="minorHAnsi" w:hint="cs"/>
          <w:bCs/>
          <w:u w:val="single"/>
          <w:rtl/>
        </w:rPr>
        <w:t>مارس 2019</w:t>
      </w:r>
    </w:p>
    <w:p w14:paraId="0B3E685E" w14:textId="77777777" w:rsidR="00AF49D3" w:rsidRPr="00026711" w:rsidRDefault="00587947" w:rsidP="00587947">
      <w:pPr>
        <w:pStyle w:val="Heading2"/>
        <w:bidi/>
        <w:jc w:val="left"/>
        <w:rPr>
          <w:rFonts w:asciiTheme="minorHAnsi" w:hAnsiTheme="minorHAnsi" w:cs="Tahoma"/>
          <w:b w:val="0"/>
          <w:bCs/>
          <w:u w:val="single"/>
        </w:rPr>
      </w:pPr>
      <w:r w:rsidRPr="00026711">
        <w:rPr>
          <w:rFonts w:asciiTheme="minorHAnsi" w:hAnsiTheme="minorHAnsi" w:cs="Tahoma" w:hint="cs"/>
          <w:b w:val="0"/>
          <w:bCs/>
          <w:u w:val="single"/>
          <w:rtl/>
        </w:rPr>
        <w:t>خبر صحفي</w:t>
      </w:r>
    </w:p>
    <w:p w14:paraId="74369D16" w14:textId="77777777" w:rsidR="001555E5" w:rsidRPr="00026711" w:rsidRDefault="001555E5" w:rsidP="001555E5">
      <w:pPr>
        <w:rPr>
          <w:bCs/>
          <w:rtl/>
        </w:rPr>
      </w:pPr>
    </w:p>
    <w:p w14:paraId="6E354502" w14:textId="77777777" w:rsidR="00587947" w:rsidRPr="001555E5" w:rsidRDefault="00587947" w:rsidP="001555E5">
      <w:bookmarkStart w:id="0" w:name="_GoBack"/>
      <w:bookmarkEnd w:id="0"/>
    </w:p>
    <w:p w14:paraId="0CA54CD9" w14:textId="77777777" w:rsidR="00AF49D3" w:rsidRDefault="008C3E61">
      <w:pPr>
        <w:jc w:val="center"/>
      </w:pPr>
      <w:r w:rsidRPr="003F144E">
        <w:rPr>
          <w:rFonts w:ascii="Verdana" w:hAnsi="Verdana" w:cs="Verdana"/>
          <w:noProof/>
          <w:sz w:val="22"/>
          <w:szCs w:val="22"/>
        </w:rPr>
        <w:drawing>
          <wp:inline distT="0" distB="0" distL="0" distR="0" wp14:anchorId="7A60A54F" wp14:editId="68B2B4B8">
            <wp:extent cx="4277692" cy="548640"/>
            <wp:effectExtent l="0" t="0" r="8890" b="381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ZPB 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53368" cy="558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81E2B2" w14:textId="77777777" w:rsidR="00004609" w:rsidRDefault="00004609" w:rsidP="008C3E61">
      <w:pPr>
        <w:ind w:left="720" w:hanging="720"/>
        <w:jc w:val="center"/>
        <w:rPr>
          <w:rFonts w:asciiTheme="minorHAnsi" w:hAnsiTheme="minorHAnsi" w:cs="Tahoma"/>
          <w:b/>
          <w:spacing w:val="-2"/>
          <w:kern w:val="1"/>
          <w:sz w:val="28"/>
          <w:szCs w:val="28"/>
          <w:u w:val="single"/>
        </w:rPr>
      </w:pPr>
    </w:p>
    <w:p w14:paraId="5DE2938A" w14:textId="77777777" w:rsidR="00046CDF" w:rsidRPr="00046CDF" w:rsidRDefault="00046CDF" w:rsidP="00046CDF">
      <w:pPr>
        <w:bidi/>
        <w:jc w:val="center"/>
        <w:rPr>
          <w:b/>
          <w:bCs/>
          <w:sz w:val="36"/>
          <w:szCs w:val="36"/>
          <w:lang w:bidi="ar-BH"/>
        </w:rPr>
      </w:pPr>
      <w:r w:rsidRPr="00046CDF">
        <w:rPr>
          <w:rFonts w:hint="cs"/>
          <w:b/>
          <w:bCs/>
          <w:sz w:val="36"/>
          <w:szCs w:val="36"/>
          <w:rtl/>
          <w:lang w:bidi="ar-BH"/>
        </w:rPr>
        <w:t xml:space="preserve">بنك </w:t>
      </w:r>
      <w:r w:rsidRPr="00046CDF">
        <w:rPr>
          <w:b/>
          <w:bCs/>
          <w:sz w:val="36"/>
          <w:szCs w:val="36"/>
          <w:lang w:bidi="ar-BH"/>
        </w:rPr>
        <w:t>ABC</w:t>
      </w:r>
      <w:r w:rsidRPr="00046CDF">
        <w:rPr>
          <w:rFonts w:hint="cs"/>
          <w:b/>
          <w:bCs/>
          <w:sz w:val="36"/>
          <w:szCs w:val="36"/>
          <w:rtl/>
          <w:lang w:bidi="ar-BH"/>
        </w:rPr>
        <w:t xml:space="preserve"> وتجمع مصرفي يرتبون مرابحة مشتركة</w:t>
      </w:r>
    </w:p>
    <w:p w14:paraId="5842FCE8" w14:textId="77777777" w:rsidR="00046CDF" w:rsidRPr="00046CDF" w:rsidRDefault="00046CDF" w:rsidP="00046CDF">
      <w:pPr>
        <w:bidi/>
        <w:jc w:val="center"/>
        <w:rPr>
          <w:b/>
          <w:bCs/>
          <w:sz w:val="36"/>
          <w:szCs w:val="36"/>
          <w:rtl/>
          <w:lang w:bidi="ar-BH"/>
        </w:rPr>
      </w:pPr>
      <w:r w:rsidRPr="00046CDF">
        <w:rPr>
          <w:rFonts w:hint="cs"/>
          <w:b/>
          <w:bCs/>
          <w:sz w:val="36"/>
          <w:szCs w:val="36"/>
          <w:rtl/>
          <w:lang w:bidi="ar-BH"/>
        </w:rPr>
        <w:t>لبنك زراعات التركي مقدارها 150 مليون دولار</w:t>
      </w:r>
    </w:p>
    <w:p w14:paraId="1CED4014" w14:textId="77777777" w:rsidR="00046CDF" w:rsidRDefault="00046CDF" w:rsidP="00046CDF">
      <w:pPr>
        <w:bidi/>
        <w:rPr>
          <w:sz w:val="32"/>
          <w:szCs w:val="32"/>
          <w:lang w:bidi="ar-BH"/>
        </w:rPr>
      </w:pPr>
    </w:p>
    <w:p w14:paraId="54BFF30A" w14:textId="77777777" w:rsidR="00046CDF" w:rsidRPr="00012EAD" w:rsidRDefault="00046CDF" w:rsidP="00046CDF">
      <w:pPr>
        <w:bidi/>
        <w:jc w:val="both"/>
        <w:rPr>
          <w:sz w:val="32"/>
          <w:szCs w:val="32"/>
          <w:rtl/>
          <w:lang w:bidi="ar-BH"/>
        </w:rPr>
      </w:pPr>
      <w:r w:rsidRPr="00012EAD">
        <w:rPr>
          <w:rFonts w:hint="cs"/>
          <w:sz w:val="32"/>
          <w:szCs w:val="32"/>
          <w:rtl/>
          <w:lang w:bidi="ar-BH"/>
        </w:rPr>
        <w:t xml:space="preserve">كلف بنك زراعات كاتاليم التركي كلاً من بنك </w:t>
      </w:r>
      <w:r w:rsidRPr="00012EAD">
        <w:rPr>
          <w:sz w:val="32"/>
          <w:szCs w:val="32"/>
          <w:lang w:bidi="ar-BH"/>
        </w:rPr>
        <w:t>ABC</w:t>
      </w:r>
      <w:r w:rsidRPr="00012EAD">
        <w:rPr>
          <w:rFonts w:hint="cs"/>
          <w:sz w:val="32"/>
          <w:szCs w:val="32"/>
          <w:rtl/>
          <w:lang w:bidi="ar-BH"/>
        </w:rPr>
        <w:t xml:space="preserve"> وبنك</w:t>
      </w:r>
      <w:r>
        <w:rPr>
          <w:sz w:val="32"/>
          <w:szCs w:val="32"/>
          <w:lang w:bidi="ar-BH"/>
        </w:rPr>
        <w:t xml:space="preserve"> </w:t>
      </w:r>
      <w:r w:rsidRPr="00012EAD">
        <w:rPr>
          <w:rFonts w:hint="cs"/>
          <w:sz w:val="32"/>
          <w:szCs w:val="32"/>
          <w:rtl/>
          <w:lang w:bidi="ar-BH"/>
        </w:rPr>
        <w:t>دبي الاسلامي و</w:t>
      </w:r>
      <w:r>
        <w:rPr>
          <w:rFonts w:hint="cs"/>
          <w:sz w:val="32"/>
          <w:szCs w:val="32"/>
          <w:rtl/>
          <w:lang w:bidi="ar-BH"/>
        </w:rPr>
        <w:t xml:space="preserve">شركة </w:t>
      </w:r>
      <w:r w:rsidRPr="00012EAD">
        <w:rPr>
          <w:rFonts w:hint="cs"/>
          <w:sz w:val="32"/>
          <w:szCs w:val="32"/>
          <w:rtl/>
          <w:lang w:bidi="ar-BH"/>
        </w:rPr>
        <w:t>الامارات دبي الوطني المالية وبنك ستاندرد تشارترد وبنك وربة</w:t>
      </w:r>
      <w:r>
        <w:rPr>
          <w:rFonts w:hint="cs"/>
          <w:sz w:val="32"/>
          <w:szCs w:val="32"/>
          <w:rtl/>
          <w:lang w:bidi="ar-BH"/>
        </w:rPr>
        <w:t>،</w:t>
      </w:r>
      <w:r w:rsidRPr="00012EAD">
        <w:rPr>
          <w:rFonts w:hint="cs"/>
          <w:sz w:val="32"/>
          <w:szCs w:val="32"/>
          <w:rtl/>
          <w:lang w:bidi="ar-BH"/>
        </w:rPr>
        <w:t xml:space="preserve"> بصفتهم مدراء ترتيب الاكتتاب الأولي ومدراء سجل الاكتتاب</w:t>
      </w:r>
      <w:r>
        <w:rPr>
          <w:rFonts w:hint="cs"/>
          <w:sz w:val="32"/>
          <w:szCs w:val="32"/>
          <w:rtl/>
          <w:lang w:bidi="ar-BH"/>
        </w:rPr>
        <w:t>،</w:t>
      </w:r>
      <w:r w:rsidRPr="00012EAD">
        <w:rPr>
          <w:rFonts w:hint="cs"/>
          <w:sz w:val="32"/>
          <w:szCs w:val="32"/>
          <w:rtl/>
          <w:lang w:bidi="ar-BH"/>
        </w:rPr>
        <w:t xml:space="preserve"> </w:t>
      </w:r>
      <w:r>
        <w:rPr>
          <w:rFonts w:hint="cs"/>
          <w:sz w:val="32"/>
          <w:szCs w:val="32"/>
          <w:rtl/>
          <w:lang w:bidi="ar-BH"/>
        </w:rPr>
        <w:t>ب</w:t>
      </w:r>
      <w:r w:rsidRPr="00012EAD">
        <w:rPr>
          <w:rFonts w:hint="cs"/>
          <w:sz w:val="32"/>
          <w:szCs w:val="32"/>
          <w:rtl/>
          <w:lang w:bidi="ar-BH"/>
        </w:rPr>
        <w:t>ترتيب تسهيلات مرابحة مشتركة قيمتها 150 مليون دولار امريكي.</w:t>
      </w:r>
    </w:p>
    <w:p w14:paraId="62DBB42D" w14:textId="77777777" w:rsidR="00046CDF" w:rsidRDefault="00046CDF" w:rsidP="00046CDF">
      <w:pPr>
        <w:bidi/>
        <w:jc w:val="both"/>
        <w:rPr>
          <w:sz w:val="32"/>
          <w:szCs w:val="32"/>
          <w:rtl/>
          <w:lang w:bidi="ar-BH"/>
        </w:rPr>
      </w:pPr>
    </w:p>
    <w:p w14:paraId="219C119E" w14:textId="77777777" w:rsidR="00046CDF" w:rsidRPr="00012EAD" w:rsidRDefault="00046CDF" w:rsidP="00046CDF">
      <w:pPr>
        <w:bidi/>
        <w:jc w:val="both"/>
        <w:rPr>
          <w:sz w:val="32"/>
          <w:szCs w:val="32"/>
          <w:rtl/>
          <w:lang w:bidi="ar-BH"/>
        </w:rPr>
      </w:pPr>
      <w:r w:rsidRPr="00012EAD">
        <w:rPr>
          <w:rFonts w:hint="cs"/>
          <w:sz w:val="32"/>
          <w:szCs w:val="32"/>
          <w:rtl/>
          <w:lang w:bidi="ar-BH"/>
        </w:rPr>
        <w:t xml:space="preserve">وتم تعيين بنك </w:t>
      </w:r>
      <w:r w:rsidRPr="00012EAD">
        <w:rPr>
          <w:sz w:val="32"/>
          <w:szCs w:val="32"/>
          <w:lang w:bidi="ar-BH"/>
        </w:rPr>
        <w:t>ABC</w:t>
      </w:r>
      <w:r w:rsidRPr="00012EAD">
        <w:rPr>
          <w:rFonts w:hint="cs"/>
          <w:sz w:val="32"/>
          <w:szCs w:val="32"/>
          <w:rtl/>
          <w:lang w:bidi="ar-BH"/>
        </w:rPr>
        <w:t xml:space="preserve"> كمنسق لهذه التسهيلات المشتركة</w:t>
      </w:r>
      <w:r>
        <w:rPr>
          <w:rFonts w:hint="cs"/>
          <w:sz w:val="32"/>
          <w:szCs w:val="32"/>
          <w:rtl/>
          <w:lang w:bidi="ar-BH"/>
        </w:rPr>
        <w:t xml:space="preserve"> التي </w:t>
      </w:r>
      <w:r w:rsidRPr="00012EAD">
        <w:rPr>
          <w:rFonts w:hint="cs"/>
          <w:sz w:val="32"/>
          <w:szCs w:val="32"/>
          <w:rtl/>
          <w:lang w:bidi="ar-BH"/>
        </w:rPr>
        <w:t>ستكون بعمل</w:t>
      </w:r>
      <w:r>
        <w:rPr>
          <w:rFonts w:hint="cs"/>
          <w:sz w:val="32"/>
          <w:szCs w:val="32"/>
          <w:rtl/>
          <w:lang w:bidi="ar-BH"/>
        </w:rPr>
        <w:t>تي</w:t>
      </w:r>
      <w:r w:rsidRPr="00012EAD">
        <w:rPr>
          <w:rFonts w:hint="cs"/>
          <w:sz w:val="32"/>
          <w:szCs w:val="32"/>
          <w:rtl/>
          <w:lang w:bidi="ar-BH"/>
        </w:rPr>
        <w:t xml:space="preserve"> الدولار الامريكي واليورو</w:t>
      </w:r>
      <w:r>
        <w:rPr>
          <w:rFonts w:hint="cs"/>
          <w:sz w:val="32"/>
          <w:szCs w:val="32"/>
          <w:rtl/>
          <w:lang w:bidi="ar-BH"/>
        </w:rPr>
        <w:t>،</w:t>
      </w:r>
      <w:r w:rsidRPr="00012EAD">
        <w:rPr>
          <w:rFonts w:hint="cs"/>
          <w:sz w:val="32"/>
          <w:szCs w:val="32"/>
          <w:rtl/>
          <w:lang w:bidi="ar-BH"/>
        </w:rPr>
        <w:t xml:space="preserve"> وسوف تستخدم في أعمال بنك زراعات الت</w:t>
      </w:r>
      <w:r>
        <w:rPr>
          <w:rFonts w:hint="cs"/>
          <w:sz w:val="32"/>
          <w:szCs w:val="32"/>
          <w:rtl/>
          <w:lang w:bidi="ar-BH"/>
        </w:rPr>
        <w:t>م</w:t>
      </w:r>
      <w:r w:rsidRPr="00012EAD">
        <w:rPr>
          <w:rFonts w:hint="cs"/>
          <w:sz w:val="32"/>
          <w:szCs w:val="32"/>
          <w:rtl/>
          <w:lang w:bidi="ar-BH"/>
        </w:rPr>
        <w:t>ويلية العامة.</w:t>
      </w:r>
    </w:p>
    <w:p w14:paraId="7B5CAA1E" w14:textId="77777777" w:rsidR="00046CDF" w:rsidRDefault="00046CDF" w:rsidP="00046CDF">
      <w:pPr>
        <w:bidi/>
        <w:jc w:val="both"/>
        <w:rPr>
          <w:sz w:val="32"/>
          <w:szCs w:val="32"/>
          <w:rtl/>
          <w:lang w:bidi="ar-BH"/>
        </w:rPr>
      </w:pPr>
    </w:p>
    <w:p w14:paraId="2CF74B4B" w14:textId="77777777" w:rsidR="00046CDF" w:rsidRPr="00012EAD" w:rsidRDefault="00046CDF" w:rsidP="00046CDF">
      <w:pPr>
        <w:bidi/>
        <w:jc w:val="both"/>
        <w:rPr>
          <w:sz w:val="32"/>
          <w:szCs w:val="32"/>
          <w:rtl/>
          <w:lang w:bidi="ar-BH"/>
        </w:rPr>
      </w:pPr>
      <w:r w:rsidRPr="00012EAD">
        <w:rPr>
          <w:rFonts w:hint="cs"/>
          <w:sz w:val="32"/>
          <w:szCs w:val="32"/>
          <w:rtl/>
          <w:lang w:bidi="ar-BH"/>
        </w:rPr>
        <w:t>وقد تمت هيكلة هذه التسهيلات كمرابحة ملتزمة بمبادئ الشريعة مدتها سنة واحدة ويومان</w:t>
      </w:r>
      <w:r>
        <w:rPr>
          <w:rFonts w:hint="cs"/>
          <w:sz w:val="32"/>
          <w:szCs w:val="32"/>
          <w:rtl/>
          <w:lang w:bidi="ar-BH"/>
        </w:rPr>
        <w:t>،</w:t>
      </w:r>
      <w:r w:rsidRPr="00012EAD">
        <w:rPr>
          <w:rFonts w:hint="cs"/>
          <w:sz w:val="32"/>
          <w:szCs w:val="32"/>
          <w:rtl/>
          <w:lang w:bidi="ar-BH"/>
        </w:rPr>
        <w:t xml:space="preserve"> مع </w:t>
      </w:r>
      <w:r>
        <w:rPr>
          <w:rFonts w:hint="cs"/>
          <w:sz w:val="32"/>
          <w:szCs w:val="32"/>
          <w:rtl/>
          <w:lang w:bidi="ar-BH"/>
        </w:rPr>
        <w:t xml:space="preserve">وجود </w:t>
      </w:r>
      <w:r w:rsidRPr="00012EAD">
        <w:rPr>
          <w:rFonts w:hint="cs"/>
          <w:sz w:val="32"/>
          <w:szCs w:val="32"/>
          <w:rtl/>
          <w:lang w:bidi="ar-BH"/>
        </w:rPr>
        <w:t xml:space="preserve">خيار </w:t>
      </w:r>
      <w:r>
        <w:rPr>
          <w:rFonts w:hint="cs"/>
          <w:sz w:val="32"/>
          <w:szCs w:val="32"/>
          <w:rtl/>
          <w:lang w:bidi="ar-BH"/>
        </w:rPr>
        <w:t>ل</w:t>
      </w:r>
      <w:r w:rsidRPr="00012EAD">
        <w:rPr>
          <w:rFonts w:hint="cs"/>
          <w:sz w:val="32"/>
          <w:szCs w:val="32"/>
          <w:rtl/>
          <w:lang w:bidi="ar-BH"/>
        </w:rPr>
        <w:t>زيادة حجم التسهيلات.</w:t>
      </w:r>
    </w:p>
    <w:p w14:paraId="2610429B" w14:textId="77777777" w:rsidR="00046CDF" w:rsidRDefault="00046CDF" w:rsidP="00046CDF">
      <w:pPr>
        <w:bidi/>
        <w:jc w:val="both"/>
        <w:rPr>
          <w:sz w:val="32"/>
          <w:szCs w:val="32"/>
          <w:rtl/>
          <w:lang w:bidi="ar-BH"/>
        </w:rPr>
      </w:pPr>
    </w:p>
    <w:p w14:paraId="58D7FD4A" w14:textId="60ADCC5A" w:rsidR="00046CDF" w:rsidRPr="00012EAD" w:rsidRDefault="00046CDF" w:rsidP="00046CDF">
      <w:pPr>
        <w:bidi/>
        <w:jc w:val="both"/>
        <w:rPr>
          <w:sz w:val="32"/>
          <w:szCs w:val="32"/>
          <w:rtl/>
          <w:lang w:bidi="ar-BH"/>
        </w:rPr>
      </w:pPr>
      <w:r w:rsidRPr="00012EAD">
        <w:rPr>
          <w:rFonts w:hint="cs"/>
          <w:sz w:val="32"/>
          <w:szCs w:val="32"/>
          <w:rtl/>
          <w:lang w:bidi="ar-BH"/>
        </w:rPr>
        <w:t xml:space="preserve">وقد بدأ الاكتتاب في هذه التسهيلات </w:t>
      </w:r>
      <w:r w:rsidR="00BA22D7">
        <w:rPr>
          <w:rFonts w:hint="cs"/>
          <w:sz w:val="32"/>
          <w:szCs w:val="32"/>
          <w:rtl/>
          <w:lang w:bidi="ar-BH"/>
        </w:rPr>
        <w:t>في ٤ مارس ٢٠١٩</w:t>
      </w:r>
      <w:r w:rsidRPr="00012EAD">
        <w:rPr>
          <w:rFonts w:hint="cs"/>
          <w:sz w:val="32"/>
          <w:szCs w:val="32"/>
          <w:rtl/>
          <w:lang w:bidi="ar-BH"/>
        </w:rPr>
        <w:t xml:space="preserve">، ومن المتوقع أن يتم اغلاقه في </w:t>
      </w:r>
      <w:r>
        <w:rPr>
          <w:rFonts w:hint="cs"/>
          <w:sz w:val="32"/>
          <w:szCs w:val="32"/>
          <w:rtl/>
          <w:lang w:bidi="ar-BH"/>
        </w:rPr>
        <w:t>أ</w:t>
      </w:r>
      <w:r w:rsidRPr="00012EAD">
        <w:rPr>
          <w:rFonts w:hint="cs"/>
          <w:sz w:val="32"/>
          <w:szCs w:val="32"/>
          <w:rtl/>
          <w:lang w:bidi="ar-BH"/>
        </w:rPr>
        <w:t>وائل شهر ابريل 2019.</w:t>
      </w:r>
    </w:p>
    <w:p w14:paraId="711CD692" w14:textId="77777777" w:rsidR="00023BB5" w:rsidRPr="00023BB5" w:rsidRDefault="00023BB5" w:rsidP="00046CDF">
      <w:pPr>
        <w:ind w:left="720" w:hanging="720"/>
        <w:jc w:val="center"/>
        <w:rPr>
          <w:rFonts w:cs="Tahoma"/>
          <w:spacing w:val="-2"/>
          <w:kern w:val="1"/>
          <w:szCs w:val="20"/>
          <w:lang w:bidi="ar-BH"/>
        </w:rPr>
      </w:pPr>
    </w:p>
    <w:sectPr w:rsidR="00023BB5" w:rsidRPr="00023BB5" w:rsidSect="003F144E">
      <w:headerReference w:type="default" r:id="rId9"/>
      <w:pgSz w:w="12240" w:h="15840"/>
      <w:pgMar w:top="119" w:right="1620" w:bottom="450" w:left="1710" w:header="4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C17836" w14:textId="77777777" w:rsidR="00C82F39" w:rsidRDefault="00C82F39">
      <w:r>
        <w:separator/>
      </w:r>
    </w:p>
  </w:endnote>
  <w:endnote w:type="continuationSeparator" w:id="0">
    <w:p w14:paraId="3139CD29" w14:textId="77777777" w:rsidR="00C82F39" w:rsidRDefault="00C82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ms Rmn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BCAFCA" w14:textId="77777777" w:rsidR="00C82F39" w:rsidRDefault="00C82F39">
      <w:r>
        <w:separator/>
      </w:r>
    </w:p>
  </w:footnote>
  <w:footnote w:type="continuationSeparator" w:id="0">
    <w:p w14:paraId="6A72F4BB" w14:textId="77777777" w:rsidR="00C82F39" w:rsidRDefault="00C82F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606" w:type="pct"/>
      <w:jc w:val="center"/>
      <w:tblLook w:val="04A0" w:firstRow="1" w:lastRow="0" w:firstColumn="1" w:lastColumn="0" w:noHBand="0" w:noVBand="1"/>
    </w:tblPr>
    <w:tblGrid>
      <w:gridCol w:w="2536"/>
      <w:gridCol w:w="1944"/>
      <w:gridCol w:w="2612"/>
      <w:gridCol w:w="1449"/>
      <w:gridCol w:w="1449"/>
    </w:tblGrid>
    <w:tr w:rsidR="00723F86" w14:paraId="3370B80B" w14:textId="77777777" w:rsidTr="00D443A6">
      <w:trPr>
        <w:trHeight w:val="1620"/>
        <w:jc w:val="center"/>
      </w:trPr>
      <w:tc>
        <w:tcPr>
          <w:tcW w:w="1042" w:type="pct"/>
        </w:tcPr>
        <w:p w14:paraId="23D88490" w14:textId="77777777" w:rsidR="00723F86" w:rsidRDefault="00723F86" w:rsidP="00F336EC">
          <w:pPr>
            <w:pStyle w:val="Header"/>
            <w:jc w:val="center"/>
          </w:pPr>
          <w:r>
            <w:rPr>
              <w:noProof/>
            </w:rPr>
            <w:drawing>
              <wp:anchor distT="0" distB="0" distL="114300" distR="114300" simplePos="0" relativeHeight="251676672" behindDoc="1" locked="0" layoutInCell="1" allowOverlap="1" wp14:anchorId="01395D1B" wp14:editId="10B59759">
                <wp:simplePos x="0" y="0"/>
                <wp:positionH relativeFrom="column">
                  <wp:posOffset>-64770</wp:posOffset>
                </wp:positionH>
                <wp:positionV relativeFrom="paragraph">
                  <wp:posOffset>689610</wp:posOffset>
                </wp:positionV>
                <wp:extent cx="1473200" cy="265430"/>
                <wp:effectExtent l="0" t="0" r="0" b="1270"/>
                <wp:wrapTight wrapText="bothSides">
                  <wp:wrapPolygon edited="0">
                    <wp:start x="0" y="0"/>
                    <wp:lineTo x="0" y="4651"/>
                    <wp:lineTo x="559" y="20153"/>
                    <wp:lineTo x="21228" y="20153"/>
                    <wp:lineTo x="21228" y="4651"/>
                    <wp:lineTo x="6145" y="0"/>
                    <wp:lineTo x="0" y="0"/>
                  </wp:wrapPolygon>
                </wp:wrapTight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ank ABC Transperant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3200" cy="2654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030" w:type="pct"/>
          <w:vAlign w:val="center"/>
        </w:tcPr>
        <w:p w14:paraId="4462587C" w14:textId="77777777" w:rsidR="00723F86" w:rsidRDefault="00601B76" w:rsidP="00F336EC">
          <w:pPr>
            <w:pStyle w:val="Header"/>
            <w:jc w:val="center"/>
          </w:pPr>
          <w:r>
            <w:rPr>
              <w:noProof/>
            </w:rPr>
            <w:drawing>
              <wp:anchor distT="0" distB="0" distL="114300" distR="114300" simplePos="0" relativeHeight="251683840" behindDoc="0" locked="0" layoutInCell="1" allowOverlap="1" wp14:anchorId="217BF033" wp14:editId="2ABAA2B7">
                <wp:simplePos x="0" y="0"/>
                <wp:positionH relativeFrom="column">
                  <wp:posOffset>-21590</wp:posOffset>
                </wp:positionH>
                <wp:positionV relativeFrom="paragraph">
                  <wp:posOffset>598170</wp:posOffset>
                </wp:positionV>
                <wp:extent cx="1163320" cy="289560"/>
                <wp:effectExtent l="0" t="0" r="0" b="0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3320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364" w:type="pct"/>
        </w:tcPr>
        <w:p w14:paraId="0BE97487" w14:textId="77777777" w:rsidR="00723F86" w:rsidRDefault="00723F86" w:rsidP="00F336EC">
          <w:pPr>
            <w:pStyle w:val="Header"/>
            <w:jc w:val="center"/>
          </w:pPr>
          <w:r>
            <w:rPr>
              <w:noProof/>
            </w:rPr>
            <w:drawing>
              <wp:anchor distT="0" distB="0" distL="114300" distR="114300" simplePos="0" relativeHeight="251677696" behindDoc="0" locked="0" layoutInCell="1" allowOverlap="1" wp14:anchorId="550121EE" wp14:editId="277F88AF">
                <wp:simplePos x="0" y="0"/>
                <wp:positionH relativeFrom="column">
                  <wp:posOffset>5192395</wp:posOffset>
                </wp:positionH>
                <wp:positionV relativeFrom="paragraph">
                  <wp:posOffset>321310</wp:posOffset>
                </wp:positionV>
                <wp:extent cx="1245870" cy="298450"/>
                <wp:effectExtent l="0" t="0" r="0" b="6350"/>
                <wp:wrapNone/>
                <wp:docPr id="5" name="Picture 5" descr="Emirates NBD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 descr="Emirates NBD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5870" cy="298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16280C9A" w14:textId="77777777" w:rsidR="00723F86" w:rsidRDefault="00723F86" w:rsidP="00F336EC">
          <w:pPr>
            <w:pStyle w:val="Header"/>
            <w:jc w:val="center"/>
          </w:pPr>
        </w:p>
        <w:p w14:paraId="19783435" w14:textId="77777777" w:rsidR="00723F86" w:rsidRDefault="009C13AB" w:rsidP="00F336EC">
          <w:pPr>
            <w:pStyle w:val="Header"/>
            <w:jc w:val="center"/>
          </w:pPr>
          <w:r>
            <w:rPr>
              <w:rFonts w:ascii="Calibri" w:hAnsi="Calibri" w:cs="Verdana"/>
              <w:noProof/>
              <w:color w:val="000000"/>
              <w:sz w:val="22"/>
              <w:szCs w:val="22"/>
            </w:rPr>
            <w:drawing>
              <wp:anchor distT="0" distB="0" distL="114300" distR="114300" simplePos="0" relativeHeight="251679744" behindDoc="0" locked="0" layoutInCell="1" allowOverlap="1" wp14:anchorId="62AB5BDE" wp14:editId="62F039A0">
                <wp:simplePos x="0" y="0"/>
                <wp:positionH relativeFrom="column">
                  <wp:posOffset>74295</wp:posOffset>
                </wp:positionH>
                <wp:positionV relativeFrom="paragraph">
                  <wp:posOffset>171450</wp:posOffset>
                </wp:positionV>
                <wp:extent cx="1136650" cy="272286"/>
                <wp:effectExtent l="0" t="0" r="6350" b="0"/>
                <wp:wrapNone/>
                <wp:docPr id="8" name="Picture 8" descr="Emirates NBD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 descr="Emirates NBD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6650" cy="2722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84864" behindDoc="0" locked="0" layoutInCell="1" allowOverlap="0" wp14:anchorId="34DF9122" wp14:editId="7FCF8F4D">
                <wp:simplePos x="0" y="0"/>
                <wp:positionH relativeFrom="column">
                  <wp:posOffset>1261110</wp:posOffset>
                </wp:positionH>
                <wp:positionV relativeFrom="paragraph">
                  <wp:posOffset>151765</wp:posOffset>
                </wp:positionV>
                <wp:extent cx="1064895" cy="348309"/>
                <wp:effectExtent l="0" t="0" r="1905" b="0"/>
                <wp:wrapNone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4895" cy="348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33779AF0" w14:textId="77777777" w:rsidR="00723F86" w:rsidDel="00A360D0" w:rsidRDefault="00723F86" w:rsidP="00B9343F">
          <w:pPr>
            <w:pStyle w:val="Header"/>
            <w:jc w:val="center"/>
            <w:rPr>
              <w:noProof/>
            </w:rPr>
          </w:pPr>
        </w:p>
      </w:tc>
      <w:tc>
        <w:tcPr>
          <w:tcW w:w="782" w:type="pct"/>
        </w:tcPr>
        <w:p w14:paraId="0E7FC02F" w14:textId="77777777" w:rsidR="00723F86" w:rsidRDefault="00723F86" w:rsidP="00F336EC">
          <w:pPr>
            <w:pStyle w:val="Header"/>
            <w:jc w:val="center"/>
            <w:rPr>
              <w:noProof/>
            </w:rPr>
          </w:pPr>
        </w:p>
        <w:p w14:paraId="55FC7A21" w14:textId="77777777" w:rsidR="00723F86" w:rsidRDefault="00723F86" w:rsidP="00F336EC">
          <w:pPr>
            <w:pStyle w:val="Header"/>
            <w:jc w:val="center"/>
            <w:rPr>
              <w:noProof/>
            </w:rPr>
          </w:pPr>
        </w:p>
        <w:p w14:paraId="51E62086" w14:textId="77777777" w:rsidR="00723F86" w:rsidRDefault="00723F86" w:rsidP="00F336EC">
          <w:pPr>
            <w:pStyle w:val="Header"/>
            <w:jc w:val="center"/>
            <w:rPr>
              <w:noProof/>
            </w:rPr>
          </w:pPr>
        </w:p>
        <w:p w14:paraId="047A9B09" w14:textId="77777777" w:rsidR="00723F86" w:rsidRDefault="00723F86" w:rsidP="00723F86">
          <w:pPr>
            <w:pStyle w:val="Header"/>
            <w:rPr>
              <w:noProof/>
            </w:rPr>
          </w:pPr>
        </w:p>
      </w:tc>
      <w:tc>
        <w:tcPr>
          <w:tcW w:w="782" w:type="pct"/>
          <w:vAlign w:val="center"/>
        </w:tcPr>
        <w:p w14:paraId="6E9A6063" w14:textId="77777777" w:rsidR="00723F86" w:rsidRPr="00B9343F" w:rsidRDefault="00ED0247" w:rsidP="00F336EC">
          <w:pPr>
            <w:pStyle w:val="Header"/>
            <w:jc w:val="center"/>
            <w:rPr>
              <w:highlight w:val="yellow"/>
            </w:rPr>
          </w:pPr>
          <w:r>
            <w:rPr>
              <w:noProof/>
            </w:rPr>
            <w:drawing>
              <wp:anchor distT="0" distB="0" distL="114300" distR="114300" simplePos="0" relativeHeight="251680768" behindDoc="0" locked="0" layoutInCell="1" allowOverlap="1" wp14:anchorId="58B987E3" wp14:editId="609F06AD">
                <wp:simplePos x="0" y="0"/>
                <wp:positionH relativeFrom="column">
                  <wp:posOffset>-149225</wp:posOffset>
                </wp:positionH>
                <wp:positionV relativeFrom="paragraph">
                  <wp:posOffset>526415</wp:posOffset>
                </wp:positionV>
                <wp:extent cx="1069340" cy="355600"/>
                <wp:effectExtent l="0" t="0" r="0" b="635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warba.png"/>
                        <pic:cNvPicPr/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9340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06513E10" w14:textId="77777777" w:rsidR="0075247D" w:rsidRDefault="0075247D" w:rsidP="00BE3E93">
    <w:pPr>
      <w:pStyle w:val="Header"/>
    </w:pPr>
    <w:r>
      <w:t xml:space="preserve">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E01205"/>
    <w:multiLevelType w:val="hybridMultilevel"/>
    <w:tmpl w:val="1EB203EC"/>
    <w:lvl w:ilvl="0" w:tplc="AB3A8560">
      <w:numFmt w:val="bullet"/>
      <w:lvlText w:val=""/>
      <w:lvlJc w:val="left"/>
      <w:pPr>
        <w:ind w:left="720" w:hanging="360"/>
      </w:pPr>
      <w:rPr>
        <w:rFonts w:ascii="Symbol" w:eastAsia="Times New Roman" w:hAnsi="Symbol" w:cs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6F4"/>
    <w:rsid w:val="000009EE"/>
    <w:rsid w:val="00001DA3"/>
    <w:rsid w:val="00003080"/>
    <w:rsid w:val="00004609"/>
    <w:rsid w:val="00023BB5"/>
    <w:rsid w:val="00026711"/>
    <w:rsid w:val="00032395"/>
    <w:rsid w:val="00046CDF"/>
    <w:rsid w:val="000508A8"/>
    <w:rsid w:val="00074814"/>
    <w:rsid w:val="00093AD7"/>
    <w:rsid w:val="000A4C4E"/>
    <w:rsid w:val="000B2346"/>
    <w:rsid w:val="000B2E62"/>
    <w:rsid w:val="000B720E"/>
    <w:rsid w:val="000C7B8C"/>
    <w:rsid w:val="000D382F"/>
    <w:rsid w:val="000E69DB"/>
    <w:rsid w:val="00107B58"/>
    <w:rsid w:val="001206C4"/>
    <w:rsid w:val="001249E3"/>
    <w:rsid w:val="001263E7"/>
    <w:rsid w:val="00154483"/>
    <w:rsid w:val="001555E5"/>
    <w:rsid w:val="001570C6"/>
    <w:rsid w:val="001629B4"/>
    <w:rsid w:val="001A4508"/>
    <w:rsid w:val="001B2B93"/>
    <w:rsid w:val="001C0867"/>
    <w:rsid w:val="001C57DE"/>
    <w:rsid w:val="001E4C37"/>
    <w:rsid w:val="001F1058"/>
    <w:rsid w:val="001F202D"/>
    <w:rsid w:val="00201372"/>
    <w:rsid w:val="0021346B"/>
    <w:rsid w:val="00213F0E"/>
    <w:rsid w:val="00224B52"/>
    <w:rsid w:val="00245A5C"/>
    <w:rsid w:val="00256DFB"/>
    <w:rsid w:val="00280525"/>
    <w:rsid w:val="00282082"/>
    <w:rsid w:val="002941C5"/>
    <w:rsid w:val="002B37E2"/>
    <w:rsid w:val="002B48CF"/>
    <w:rsid w:val="002E2927"/>
    <w:rsid w:val="002F5463"/>
    <w:rsid w:val="00317858"/>
    <w:rsid w:val="00320388"/>
    <w:rsid w:val="00320E68"/>
    <w:rsid w:val="00336EDB"/>
    <w:rsid w:val="003736D3"/>
    <w:rsid w:val="0037764A"/>
    <w:rsid w:val="00381BBC"/>
    <w:rsid w:val="00382FF7"/>
    <w:rsid w:val="0038768A"/>
    <w:rsid w:val="00391CA4"/>
    <w:rsid w:val="003971BD"/>
    <w:rsid w:val="003B1A1B"/>
    <w:rsid w:val="003C6337"/>
    <w:rsid w:val="003D41BC"/>
    <w:rsid w:val="003E15F8"/>
    <w:rsid w:val="003E19EE"/>
    <w:rsid w:val="003E2CEC"/>
    <w:rsid w:val="003F144E"/>
    <w:rsid w:val="003F71E0"/>
    <w:rsid w:val="004022EB"/>
    <w:rsid w:val="00416689"/>
    <w:rsid w:val="0044474A"/>
    <w:rsid w:val="00444F6A"/>
    <w:rsid w:val="0044521A"/>
    <w:rsid w:val="0045352C"/>
    <w:rsid w:val="00454FB5"/>
    <w:rsid w:val="004563C2"/>
    <w:rsid w:val="00461993"/>
    <w:rsid w:val="00463AA9"/>
    <w:rsid w:val="00483742"/>
    <w:rsid w:val="004904F7"/>
    <w:rsid w:val="00493344"/>
    <w:rsid w:val="00493B2B"/>
    <w:rsid w:val="00496DED"/>
    <w:rsid w:val="004A026F"/>
    <w:rsid w:val="004A4235"/>
    <w:rsid w:val="004A6990"/>
    <w:rsid w:val="004A7AA5"/>
    <w:rsid w:val="004A7DDB"/>
    <w:rsid w:val="004C50E0"/>
    <w:rsid w:val="004D125C"/>
    <w:rsid w:val="004D6BCA"/>
    <w:rsid w:val="004E25A9"/>
    <w:rsid w:val="004E74B6"/>
    <w:rsid w:val="005000B4"/>
    <w:rsid w:val="0051676C"/>
    <w:rsid w:val="00526E75"/>
    <w:rsid w:val="00546133"/>
    <w:rsid w:val="005526DE"/>
    <w:rsid w:val="00560169"/>
    <w:rsid w:val="00564E3C"/>
    <w:rsid w:val="005702F8"/>
    <w:rsid w:val="00580F56"/>
    <w:rsid w:val="00586E8A"/>
    <w:rsid w:val="00587947"/>
    <w:rsid w:val="00591B76"/>
    <w:rsid w:val="005C0A27"/>
    <w:rsid w:val="005C3D52"/>
    <w:rsid w:val="005C4B69"/>
    <w:rsid w:val="005C785E"/>
    <w:rsid w:val="005D4577"/>
    <w:rsid w:val="005E7FBD"/>
    <w:rsid w:val="00600349"/>
    <w:rsid w:val="00601B76"/>
    <w:rsid w:val="00627DD6"/>
    <w:rsid w:val="00635B6A"/>
    <w:rsid w:val="0066166F"/>
    <w:rsid w:val="00663894"/>
    <w:rsid w:val="006715B6"/>
    <w:rsid w:val="006739D9"/>
    <w:rsid w:val="006755CA"/>
    <w:rsid w:val="00676A6F"/>
    <w:rsid w:val="006811CE"/>
    <w:rsid w:val="006A3CEE"/>
    <w:rsid w:val="006B4B53"/>
    <w:rsid w:val="006C52C2"/>
    <w:rsid w:val="006C65B1"/>
    <w:rsid w:val="006D02DA"/>
    <w:rsid w:val="006E4CBE"/>
    <w:rsid w:val="006E60A3"/>
    <w:rsid w:val="006F488E"/>
    <w:rsid w:val="006F591D"/>
    <w:rsid w:val="00701CED"/>
    <w:rsid w:val="00701D89"/>
    <w:rsid w:val="00712CC7"/>
    <w:rsid w:val="00715EC8"/>
    <w:rsid w:val="00723F86"/>
    <w:rsid w:val="00730223"/>
    <w:rsid w:val="007341C8"/>
    <w:rsid w:val="00746A5D"/>
    <w:rsid w:val="0075226A"/>
    <w:rsid w:val="0075247D"/>
    <w:rsid w:val="00767A62"/>
    <w:rsid w:val="00767C65"/>
    <w:rsid w:val="007718E2"/>
    <w:rsid w:val="007744BF"/>
    <w:rsid w:val="00787A64"/>
    <w:rsid w:val="007B633B"/>
    <w:rsid w:val="007C76FD"/>
    <w:rsid w:val="007F5935"/>
    <w:rsid w:val="0082599D"/>
    <w:rsid w:val="00844506"/>
    <w:rsid w:val="008561B6"/>
    <w:rsid w:val="00897AF2"/>
    <w:rsid w:val="008C3E61"/>
    <w:rsid w:val="008C5237"/>
    <w:rsid w:val="008D193B"/>
    <w:rsid w:val="008D4A52"/>
    <w:rsid w:val="00902EF5"/>
    <w:rsid w:val="009168CE"/>
    <w:rsid w:val="00924196"/>
    <w:rsid w:val="00924EE3"/>
    <w:rsid w:val="00934D0D"/>
    <w:rsid w:val="00940A1B"/>
    <w:rsid w:val="009519AF"/>
    <w:rsid w:val="00960355"/>
    <w:rsid w:val="009645C4"/>
    <w:rsid w:val="00971888"/>
    <w:rsid w:val="00977890"/>
    <w:rsid w:val="0098240B"/>
    <w:rsid w:val="009866B9"/>
    <w:rsid w:val="009904FB"/>
    <w:rsid w:val="009916F4"/>
    <w:rsid w:val="00997A88"/>
    <w:rsid w:val="009A2004"/>
    <w:rsid w:val="009A74D5"/>
    <w:rsid w:val="009B1E83"/>
    <w:rsid w:val="009C13AB"/>
    <w:rsid w:val="009C1781"/>
    <w:rsid w:val="009C79CE"/>
    <w:rsid w:val="009D0930"/>
    <w:rsid w:val="009D5FD9"/>
    <w:rsid w:val="009F1C97"/>
    <w:rsid w:val="00A059C5"/>
    <w:rsid w:val="00A347F8"/>
    <w:rsid w:val="00A360D0"/>
    <w:rsid w:val="00A36F1E"/>
    <w:rsid w:val="00A535E2"/>
    <w:rsid w:val="00A549CF"/>
    <w:rsid w:val="00A5602A"/>
    <w:rsid w:val="00A71F4F"/>
    <w:rsid w:val="00A82192"/>
    <w:rsid w:val="00A86BDC"/>
    <w:rsid w:val="00A950D0"/>
    <w:rsid w:val="00A95795"/>
    <w:rsid w:val="00A96381"/>
    <w:rsid w:val="00AB2B51"/>
    <w:rsid w:val="00AB4F12"/>
    <w:rsid w:val="00AB5559"/>
    <w:rsid w:val="00AB634B"/>
    <w:rsid w:val="00AC542B"/>
    <w:rsid w:val="00AC6992"/>
    <w:rsid w:val="00AD46F1"/>
    <w:rsid w:val="00AD6590"/>
    <w:rsid w:val="00AF49D3"/>
    <w:rsid w:val="00B0063A"/>
    <w:rsid w:val="00B024C8"/>
    <w:rsid w:val="00B06544"/>
    <w:rsid w:val="00B148A5"/>
    <w:rsid w:val="00B514ED"/>
    <w:rsid w:val="00B557D4"/>
    <w:rsid w:val="00B87D40"/>
    <w:rsid w:val="00B9343F"/>
    <w:rsid w:val="00B948D6"/>
    <w:rsid w:val="00BA1624"/>
    <w:rsid w:val="00BA1E32"/>
    <w:rsid w:val="00BA2239"/>
    <w:rsid w:val="00BA22D7"/>
    <w:rsid w:val="00BB7D74"/>
    <w:rsid w:val="00BC7903"/>
    <w:rsid w:val="00BD1E4A"/>
    <w:rsid w:val="00BD22D9"/>
    <w:rsid w:val="00BE3E93"/>
    <w:rsid w:val="00BF05AA"/>
    <w:rsid w:val="00C311A0"/>
    <w:rsid w:val="00C354DE"/>
    <w:rsid w:val="00C3605B"/>
    <w:rsid w:val="00C74819"/>
    <w:rsid w:val="00C82F39"/>
    <w:rsid w:val="00C93081"/>
    <w:rsid w:val="00C96953"/>
    <w:rsid w:val="00CA675D"/>
    <w:rsid w:val="00CC62C5"/>
    <w:rsid w:val="00CD7C2C"/>
    <w:rsid w:val="00CF13B1"/>
    <w:rsid w:val="00CF661D"/>
    <w:rsid w:val="00CF7806"/>
    <w:rsid w:val="00D07773"/>
    <w:rsid w:val="00D11406"/>
    <w:rsid w:val="00D20FCB"/>
    <w:rsid w:val="00D26BA9"/>
    <w:rsid w:val="00D41F4C"/>
    <w:rsid w:val="00D443A6"/>
    <w:rsid w:val="00D63B1D"/>
    <w:rsid w:val="00D735FD"/>
    <w:rsid w:val="00D93B91"/>
    <w:rsid w:val="00D94653"/>
    <w:rsid w:val="00DA799E"/>
    <w:rsid w:val="00DB3BF0"/>
    <w:rsid w:val="00DB674C"/>
    <w:rsid w:val="00DC51E0"/>
    <w:rsid w:val="00DD3F14"/>
    <w:rsid w:val="00DD781A"/>
    <w:rsid w:val="00DE4B3F"/>
    <w:rsid w:val="00DF3E2F"/>
    <w:rsid w:val="00DF58A3"/>
    <w:rsid w:val="00E147F9"/>
    <w:rsid w:val="00E2256B"/>
    <w:rsid w:val="00E40EE3"/>
    <w:rsid w:val="00E410A3"/>
    <w:rsid w:val="00E458B6"/>
    <w:rsid w:val="00E74DF9"/>
    <w:rsid w:val="00E75D1B"/>
    <w:rsid w:val="00E8246F"/>
    <w:rsid w:val="00E85745"/>
    <w:rsid w:val="00E876BA"/>
    <w:rsid w:val="00EA14B8"/>
    <w:rsid w:val="00EA6DC6"/>
    <w:rsid w:val="00EB2E34"/>
    <w:rsid w:val="00EB4170"/>
    <w:rsid w:val="00EB68B7"/>
    <w:rsid w:val="00ED0247"/>
    <w:rsid w:val="00EE31CC"/>
    <w:rsid w:val="00EF11CF"/>
    <w:rsid w:val="00EF12D8"/>
    <w:rsid w:val="00F106FB"/>
    <w:rsid w:val="00F10CDE"/>
    <w:rsid w:val="00F1243B"/>
    <w:rsid w:val="00F270E3"/>
    <w:rsid w:val="00F336EC"/>
    <w:rsid w:val="00F33FB0"/>
    <w:rsid w:val="00F364B8"/>
    <w:rsid w:val="00F3691E"/>
    <w:rsid w:val="00F64C7E"/>
    <w:rsid w:val="00F740FD"/>
    <w:rsid w:val="00F92511"/>
    <w:rsid w:val="00FB4DB9"/>
    <w:rsid w:val="00FC5A19"/>
    <w:rsid w:val="00FC5CD6"/>
    <w:rsid w:val="00FD1050"/>
    <w:rsid w:val="00FD1EF1"/>
    <w:rsid w:val="00FF0495"/>
    <w:rsid w:val="00FF7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7DC7641"/>
  <w15:docId w15:val="{FD809EAA-C105-4482-B95F-BFB4892C7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2B51"/>
    <w:rPr>
      <w:rFonts w:ascii="Tahoma" w:hAnsi="Tahoma"/>
      <w:sz w:val="20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B2B51"/>
    <w:pPr>
      <w:keepNext/>
      <w:tabs>
        <w:tab w:val="left" w:pos="567"/>
        <w:tab w:val="right" w:pos="8222"/>
      </w:tabs>
      <w:jc w:val="center"/>
      <w:outlineLvl w:val="0"/>
    </w:pPr>
    <w:rPr>
      <w:b/>
      <w:sz w:val="24"/>
      <w:szCs w:val="20"/>
      <w:lang w:val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B2B51"/>
    <w:pPr>
      <w:keepNext/>
      <w:tabs>
        <w:tab w:val="left" w:pos="567"/>
        <w:tab w:val="right" w:pos="8222"/>
      </w:tabs>
      <w:jc w:val="center"/>
      <w:outlineLvl w:val="1"/>
    </w:pPr>
    <w:rPr>
      <w:rFonts w:ascii="Arial" w:hAnsi="Arial" w:cs="Arial"/>
      <w:b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B2B51"/>
    <w:pPr>
      <w:keepNext/>
      <w:jc w:val="both"/>
      <w:outlineLvl w:val="3"/>
    </w:pPr>
    <w:rPr>
      <w:rFonts w:ascii="Arial" w:hAnsi="Arial" w:cs="Arial"/>
      <w:b/>
      <w:bCs/>
      <w:szCs w:val="20"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97A8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B2B51"/>
    <w:pPr>
      <w:keepNext/>
      <w:jc w:val="both"/>
      <w:outlineLvl w:val="5"/>
    </w:pPr>
    <w:rPr>
      <w:rFonts w:ascii="Arial" w:hAnsi="Arial" w:cs="Arial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950D0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A950D0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A950D0"/>
    <w:rPr>
      <w:rFonts w:ascii="Calibri" w:hAnsi="Calibri" w:cs="Times New Roman"/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A950D0"/>
    <w:rPr>
      <w:rFonts w:ascii="Calibri" w:hAnsi="Calibri" w:cs="Times New Roman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A950D0"/>
    <w:rPr>
      <w:rFonts w:ascii="Calibri" w:hAnsi="Calibri" w:cs="Times New Roman"/>
      <w:b/>
      <w:bCs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AB2B51"/>
    <w:pPr>
      <w:tabs>
        <w:tab w:val="left" w:pos="567"/>
        <w:tab w:val="right" w:pos="8222"/>
      </w:tabs>
      <w:jc w:val="both"/>
    </w:pPr>
    <w:rPr>
      <w:sz w:val="22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950D0"/>
    <w:rPr>
      <w:rFonts w:ascii="Tahoma" w:hAnsi="Tahoma" w:cs="Times New Roman"/>
      <w:sz w:val="24"/>
      <w:szCs w:val="24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AB2B51"/>
    <w:pPr>
      <w:spacing w:line="480" w:lineRule="auto"/>
    </w:pPr>
    <w:rPr>
      <w:sz w:val="24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A950D0"/>
    <w:rPr>
      <w:rFonts w:ascii="Tahoma" w:hAnsi="Tahoma" w:cs="Times New Roman"/>
      <w:sz w:val="24"/>
      <w:szCs w:val="24"/>
      <w:lang w:val="en-US" w:eastAsia="en-US"/>
    </w:rPr>
  </w:style>
  <w:style w:type="paragraph" w:customStyle="1" w:styleId="Text">
    <w:name w:val="Text"/>
    <w:uiPriority w:val="99"/>
    <w:rsid w:val="00AB2B51"/>
    <w:rPr>
      <w:rFonts w:ascii="Tms Rmn" w:hAnsi="Tms Rmn"/>
      <w:color w:val="000000"/>
      <w:sz w:val="24"/>
      <w:szCs w:val="20"/>
      <w:lang w:val="de-DE"/>
    </w:rPr>
  </w:style>
  <w:style w:type="character" w:styleId="Hyperlink">
    <w:name w:val="Hyperlink"/>
    <w:basedOn w:val="DefaultParagraphFont"/>
    <w:uiPriority w:val="99"/>
    <w:rsid w:val="00AB2B51"/>
    <w:rPr>
      <w:rFonts w:cs="Times New Roman"/>
      <w:color w:val="0000FF"/>
      <w:u w:val="single"/>
    </w:rPr>
  </w:style>
  <w:style w:type="paragraph" w:customStyle="1" w:styleId="INGBodyText">
    <w:name w:val="ING_BodyText"/>
    <w:basedOn w:val="Normal"/>
    <w:uiPriority w:val="99"/>
    <w:rsid w:val="00AB2B51"/>
    <w:pPr>
      <w:spacing w:after="160"/>
      <w:jc w:val="both"/>
    </w:pPr>
    <w:rPr>
      <w:rFonts w:ascii="Arial" w:hAnsi="Arial"/>
      <w:sz w:val="22"/>
      <w:szCs w:val="20"/>
      <w:lang w:val="en-GB" w:eastAsia="en-GB"/>
    </w:rPr>
  </w:style>
  <w:style w:type="paragraph" w:customStyle="1" w:styleId="a">
    <w:name w:val="Текст выноски"/>
    <w:basedOn w:val="Normal"/>
    <w:uiPriority w:val="99"/>
    <w:semiHidden/>
    <w:rsid w:val="00AB2B51"/>
    <w:rPr>
      <w:rFonts w:cs="Tahoma"/>
      <w:sz w:val="16"/>
      <w:szCs w:val="16"/>
    </w:rPr>
  </w:style>
  <w:style w:type="paragraph" w:styleId="Title">
    <w:name w:val="Title"/>
    <w:basedOn w:val="Normal"/>
    <w:link w:val="TitleChar"/>
    <w:uiPriority w:val="99"/>
    <w:qFormat/>
    <w:rsid w:val="00AB2B51"/>
    <w:pPr>
      <w:jc w:val="center"/>
    </w:pPr>
    <w:rPr>
      <w:rFonts w:ascii="Arial" w:hAnsi="Arial" w:cs="Arial"/>
      <w:b/>
      <w:bCs/>
      <w:szCs w:val="20"/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A950D0"/>
    <w:rPr>
      <w:rFonts w:ascii="Cambria" w:hAnsi="Cambria" w:cs="Times New Roman"/>
      <w:b/>
      <w:bCs/>
      <w:kern w:val="28"/>
      <w:sz w:val="32"/>
      <w:szCs w:val="32"/>
      <w:lang w:val="en-US" w:eastAsia="en-US"/>
    </w:rPr>
  </w:style>
  <w:style w:type="paragraph" w:styleId="BodyText3">
    <w:name w:val="Body Text 3"/>
    <w:basedOn w:val="Normal"/>
    <w:link w:val="BodyText3Char"/>
    <w:uiPriority w:val="99"/>
    <w:rsid w:val="00AB2B51"/>
    <w:pPr>
      <w:tabs>
        <w:tab w:val="left" w:pos="567"/>
        <w:tab w:val="right" w:pos="8222"/>
      </w:tabs>
      <w:jc w:val="both"/>
    </w:pPr>
    <w:rPr>
      <w:rFonts w:ascii="Arial" w:hAnsi="Arial" w:cs="Arial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A950D0"/>
    <w:rPr>
      <w:rFonts w:ascii="Tahoma" w:hAnsi="Tahoma" w:cs="Times New Roman"/>
      <w:sz w:val="16"/>
      <w:szCs w:val="16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9916F4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950D0"/>
    <w:rPr>
      <w:rFonts w:cs="Times New Roman"/>
      <w:sz w:val="2"/>
      <w:lang w:val="en-US" w:eastAsia="en-US"/>
    </w:rPr>
  </w:style>
  <w:style w:type="paragraph" w:customStyle="1" w:styleId="Car">
    <w:name w:val="Car"/>
    <w:basedOn w:val="Normal"/>
    <w:uiPriority w:val="99"/>
    <w:rsid w:val="00280525"/>
    <w:pPr>
      <w:tabs>
        <w:tab w:val="left" w:pos="1440"/>
      </w:tabs>
      <w:spacing w:after="160" w:line="240" w:lineRule="exact"/>
    </w:pPr>
    <w:rPr>
      <w:rFonts w:ascii="Verdana" w:eastAsia="SimSun" w:hAnsi="Verdana"/>
      <w:sz w:val="24"/>
      <w:szCs w:val="20"/>
      <w:lang w:val="en-GB" w:eastAsia="zh-CN"/>
    </w:rPr>
  </w:style>
  <w:style w:type="paragraph" w:styleId="Header">
    <w:name w:val="header"/>
    <w:aliases w:val="Project Name,hd,Header@,Guideline"/>
    <w:basedOn w:val="Normal"/>
    <w:link w:val="HeaderChar"/>
    <w:rsid w:val="00032395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Project Name Char,hd Char,Header@ Char,Guideline Char"/>
    <w:basedOn w:val="DefaultParagraphFont"/>
    <w:link w:val="Header"/>
    <w:locked/>
    <w:rsid w:val="00A950D0"/>
    <w:rPr>
      <w:rFonts w:ascii="Tahoma" w:hAnsi="Tahoma"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03239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950D0"/>
    <w:rPr>
      <w:rFonts w:ascii="Tahoma" w:hAnsi="Tahoma" w:cs="Times New Roman"/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rsid w:val="001F202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F202D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950D0"/>
    <w:rPr>
      <w:rFonts w:ascii="Tahoma" w:hAnsi="Tahoma" w:cs="Times New Roman"/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F20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A950D0"/>
    <w:rPr>
      <w:rFonts w:ascii="Tahoma" w:hAnsi="Tahoma" w:cs="Times New Roman"/>
      <w:b/>
      <w:bCs/>
      <w:sz w:val="20"/>
      <w:szCs w:val="20"/>
      <w:lang w:val="en-US" w:eastAsia="en-US"/>
    </w:rPr>
  </w:style>
  <w:style w:type="paragraph" w:customStyle="1" w:styleId="BodyText1">
    <w:name w:val="Body Text1"/>
    <w:uiPriority w:val="99"/>
    <w:rsid w:val="00F10CDE"/>
    <w:pPr>
      <w:spacing w:after="240"/>
      <w:jc w:val="both"/>
    </w:pPr>
    <w:rPr>
      <w:rFonts w:ascii="Arial" w:hAnsi="Arial" w:cs="Arial"/>
      <w:sz w:val="24"/>
      <w:szCs w:val="24"/>
    </w:rPr>
  </w:style>
  <w:style w:type="paragraph" w:styleId="NoSpacing">
    <w:name w:val="No Spacing"/>
    <w:uiPriority w:val="1"/>
    <w:qFormat/>
    <w:rsid w:val="001A4508"/>
    <w:pPr>
      <w:spacing w:after="0" w:line="240" w:lineRule="auto"/>
    </w:pPr>
    <w:rPr>
      <w:rFonts w:ascii="Tahoma" w:hAnsi="Tahoma"/>
      <w:sz w:val="20"/>
      <w:szCs w:val="24"/>
    </w:rPr>
  </w:style>
  <w:style w:type="paragraph" w:styleId="NormalWeb">
    <w:name w:val="Normal (Web)"/>
    <w:basedOn w:val="Normal"/>
    <w:uiPriority w:val="99"/>
    <w:rsid w:val="00023BB5"/>
    <w:pPr>
      <w:spacing w:before="100" w:beforeAutospacing="1" w:after="119" w:line="240" w:lineRule="auto"/>
    </w:pPr>
    <w:rPr>
      <w:rFonts w:ascii="Times New Roman" w:hAnsi="Times New Roman"/>
      <w:sz w:val="24"/>
      <w:lang w:val="tr-TR" w:eastAsia="tr-TR"/>
    </w:rPr>
  </w:style>
  <w:style w:type="paragraph" w:customStyle="1" w:styleId="GvdeMetni1">
    <w:name w:val="Gövde Metni1"/>
    <w:rsid w:val="008C3E61"/>
    <w:pPr>
      <w:spacing w:after="240" w:line="240" w:lineRule="auto"/>
      <w:jc w:val="both"/>
    </w:pPr>
    <w:rPr>
      <w:rFonts w:ascii="Arial" w:hAnsi="Arial" w:cs="Arial"/>
      <w:sz w:val="24"/>
      <w:szCs w:val="24"/>
    </w:rPr>
  </w:style>
  <w:style w:type="paragraph" w:styleId="Revision">
    <w:name w:val="Revision"/>
    <w:hidden/>
    <w:uiPriority w:val="99"/>
    <w:semiHidden/>
    <w:rsid w:val="009D0930"/>
    <w:pPr>
      <w:spacing w:after="0" w:line="240" w:lineRule="auto"/>
    </w:pPr>
    <w:rPr>
      <w:rFonts w:ascii="Tahoma" w:hAnsi="Tahoma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  <ImageCreateDate xmlns="7003CF11-D489-4926-B2BA-08B5412DDE40" xsi:nil="true"/>
    <_dlc_DocId xmlns="4db17b0f-7162-4217-b0c4-b08b18511bed">7KWHPPY2JDYE-1506198070-82</_dlc_DocId>
    <_dlc_DocIdUrl xmlns="4db17b0f-7162-4217-b0c4-b08b18511bed">
      <Url>http://abcweb/en/Media%20Relations/PressRelease/_layouts/15/DocIdRedir.aspx?ID=7KWHPPY2JDYE-1506198070-82</Url>
      <Description>7KWHPPY2JDYE-1506198070-82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CFF03F699343D54681B0C73BA678A356" ma:contentTypeVersion="1" ma:contentTypeDescription="Upload an image." ma:contentTypeScope="" ma:versionID="0418589faa65da430fec9b51ed8f0178">
  <xsd:schema xmlns:xsd="http://www.w3.org/2001/XMLSchema" xmlns:xs="http://www.w3.org/2001/XMLSchema" xmlns:p="http://schemas.microsoft.com/office/2006/metadata/properties" xmlns:ns1="http://schemas.microsoft.com/sharepoint/v3" xmlns:ns2="7003CF11-D489-4926-B2BA-08B5412DDE40" xmlns:ns3="http://schemas.microsoft.com/sharepoint/v3/fields" xmlns:ns4="4db17b0f-7162-4217-b0c4-b08b18511bed" targetNamespace="http://schemas.microsoft.com/office/2006/metadata/properties" ma:root="true" ma:fieldsID="e65a43d35a69656d317c4e39732f6117" ns1:_="" ns2:_="" ns3:_="" ns4:_="">
    <xsd:import namespace="http://schemas.microsoft.com/sharepoint/v3"/>
    <xsd:import namespace="7003CF11-D489-4926-B2BA-08B5412DDE40"/>
    <xsd:import namespace="http://schemas.microsoft.com/sharepoint/v3/fields"/>
    <xsd:import namespace="4db17b0f-7162-4217-b0c4-b08b18511bed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03CF11-D489-4926-B2BA-08B5412DDE40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b17b0f-7162-4217-b0c4-b08b18511bed" elementFormDefault="qualified">
    <xsd:import namespace="http://schemas.microsoft.com/office/2006/documentManagement/types"/>
    <xsd:import namespace="http://schemas.microsoft.com/office/infopath/2007/PartnerControls"/>
    <xsd:element name="_dlc_DocId" ma:index="2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1244A7-C613-401C-A2D9-DB65E868F894}"/>
</file>

<file path=customXml/itemProps2.xml><?xml version="1.0" encoding="utf-8"?>
<ds:datastoreItem xmlns:ds="http://schemas.openxmlformats.org/officeDocument/2006/customXml" ds:itemID="{6C99FF2F-0016-6445-8040-54C8509B5D25}"/>
</file>

<file path=customXml/itemProps3.xml><?xml version="1.0" encoding="utf-8"?>
<ds:datastoreItem xmlns:ds="http://schemas.openxmlformats.org/officeDocument/2006/customXml" ds:itemID="{DB8F979B-31B5-4536-A830-8DC12532EDCF}"/>
</file>

<file path=customXml/itemProps4.xml><?xml version="1.0" encoding="utf-8"?>
<ds:datastoreItem xmlns:ds="http://schemas.openxmlformats.org/officeDocument/2006/customXml" ds:itemID="{44BAB4A4-BB6C-4BEE-96D9-F72F66C0C2B4}"/>
</file>

<file path=customXml/itemProps5.xml><?xml version="1.0" encoding="utf-8"?>
<ds:datastoreItem xmlns:ds="http://schemas.openxmlformats.org/officeDocument/2006/customXml" ds:itemID="{C0586B14-32BE-4F98-9742-CCA6EB648A0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ebil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Ziraat Katılım Bankası A.Ş. US$ 150,000,000 Syndicated Murabaha Dual Currency Financing Facility</dc:title>
  <dc:creator>khurrams</dc:creator>
  <dc:description>Ziraat Katılım Bankası A.Ş. US$ 150,000,000 Syndicated Murabaha Dual Currency Financing Facility</dc:description>
  <cp:lastModifiedBy>Nader Abdulaal</cp:lastModifiedBy>
  <cp:revision>19</cp:revision>
  <cp:lastPrinted>2016-03-09T13:37:00Z</cp:lastPrinted>
  <dcterms:created xsi:type="dcterms:W3CDTF">2019-03-04T06:40:00Z</dcterms:created>
  <dcterms:modified xsi:type="dcterms:W3CDTF">2019-03-05T05:59:00Z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0x0101009148F5A04DDD49CBA7127AADA5FB792B00AADE34325A8B49CDA8BB4DB53328F21400CFF03F699343D54681B0C73BA678A356</vt:lpwstr>
  </property>
  <property fmtid="{D5CDD505-2E9C-101B-9397-08002B2CF9AE}" pid="3" name="_dlc_DocIdItemGuid">
    <vt:lpwstr>f9663f84-d9a5-471c-aae4-95b4c39618fc</vt:lpwstr>
  </property>
</Properties>
</file>